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FB2DD" w14:textId="69B7916B" w:rsidR="00BD5F59" w:rsidRPr="001540E0" w:rsidRDefault="00AB4711" w:rsidP="001540E0">
      <w:pPr>
        <w:spacing w:after="0" w:line="259" w:lineRule="auto"/>
        <w:ind w:left="23" w:right="2"/>
        <w:jc w:val="center"/>
        <w:rPr>
          <w:b/>
          <w:sz w:val="28"/>
        </w:rPr>
      </w:pPr>
      <w:r w:rsidRPr="00EB7128">
        <w:rPr>
          <w:b/>
          <w:sz w:val="28"/>
        </w:rPr>
        <w:t>Criteria for Promotion in Rank</w:t>
      </w:r>
      <w:r w:rsidR="006146E2" w:rsidRPr="00EB7128">
        <w:rPr>
          <w:b/>
          <w:sz w:val="28"/>
        </w:rPr>
        <w:t xml:space="preserve"> -</w:t>
      </w:r>
      <w:r w:rsidRPr="00EB7128">
        <w:rPr>
          <w:b/>
          <w:sz w:val="28"/>
        </w:rPr>
        <w:t xml:space="preserve"> </w:t>
      </w:r>
      <w:r w:rsidR="00BD5F59">
        <w:rPr>
          <w:b/>
          <w:sz w:val="28"/>
        </w:rPr>
        <w:t>Extension Educators</w:t>
      </w:r>
    </w:p>
    <w:p w14:paraId="19139B61" w14:textId="77777777" w:rsidR="00A36160" w:rsidRPr="00EB7128" w:rsidRDefault="00AB4711">
      <w:pPr>
        <w:spacing w:after="0" w:line="259" w:lineRule="auto"/>
        <w:ind w:left="30"/>
        <w:jc w:val="center"/>
      </w:pPr>
      <w:r w:rsidRPr="00EB7128">
        <w:rPr>
          <w:b/>
        </w:rPr>
        <w:t xml:space="preserve">University of Nebraska-Lincoln </w:t>
      </w:r>
    </w:p>
    <w:p w14:paraId="6125CF47" w14:textId="5DBAD0D8" w:rsidR="008F52D7" w:rsidRPr="007A550C" w:rsidRDefault="00AB4711" w:rsidP="007A550C">
      <w:pPr>
        <w:spacing w:after="0" w:line="259" w:lineRule="auto"/>
        <w:ind w:left="30" w:right="5"/>
        <w:jc w:val="center"/>
        <w:rPr>
          <w:b/>
        </w:rPr>
      </w:pPr>
      <w:r w:rsidRPr="00EB7128">
        <w:rPr>
          <w:b/>
        </w:rPr>
        <w:t xml:space="preserve">Institute of Agriculture and Natural Resources </w:t>
      </w:r>
    </w:p>
    <w:p w14:paraId="5254E8C6" w14:textId="77777777" w:rsidR="00A36160" w:rsidRPr="00EB7128" w:rsidRDefault="00AB4711">
      <w:pPr>
        <w:spacing w:after="0" w:line="259" w:lineRule="auto"/>
        <w:ind w:left="71" w:firstLine="0"/>
        <w:jc w:val="center"/>
      </w:pPr>
      <w:r w:rsidRPr="00EB7128">
        <w:rPr>
          <w:b/>
        </w:rPr>
        <w:t xml:space="preserve"> </w:t>
      </w:r>
    </w:p>
    <w:p w14:paraId="1E72E047" w14:textId="0C2A4048" w:rsidR="00A36160" w:rsidRPr="00EB7128" w:rsidRDefault="00AB4711">
      <w:r w:rsidRPr="00EB7128">
        <w:t xml:space="preserve">Promotion in rank is </w:t>
      </w:r>
      <w:r w:rsidR="007B6735">
        <w:t xml:space="preserve">a </w:t>
      </w:r>
      <w:r w:rsidR="0065718B">
        <w:t>principled</w:t>
      </w:r>
      <w:r w:rsidRPr="00EB7128">
        <w:t xml:space="preserve"> way to recognize exemplary performance. A faculty member is eligible for promotion based on the scholarship of Extension in the context of their position description, letter of offer</w:t>
      </w:r>
      <w:r w:rsidR="001A0CF9">
        <w:t>,</w:t>
      </w:r>
      <w:r w:rsidRPr="00EB7128">
        <w:t xml:space="preserve"> and apportionment.  The scholarship of the individual faculty member should demonstrate his/her individual contributions to </w:t>
      </w:r>
      <w:r w:rsidR="00063A6D">
        <w:t>organizational</w:t>
      </w:r>
      <w:r w:rsidRPr="00EB7128">
        <w:t xml:space="preserve"> goals, the specific outcomes he/she has achieved</w:t>
      </w:r>
      <w:r w:rsidR="00B2187D">
        <w:t>,</w:t>
      </w:r>
      <w:r w:rsidRPr="00EB7128">
        <w:t xml:space="preserve"> and their contributions to scholarly products. </w:t>
      </w:r>
    </w:p>
    <w:p w14:paraId="3812D04C" w14:textId="77777777" w:rsidR="00A36160" w:rsidRPr="00EB7128" w:rsidRDefault="00AB4711">
      <w:pPr>
        <w:spacing w:after="0" w:line="259" w:lineRule="auto"/>
        <w:ind w:left="50" w:firstLine="0"/>
      </w:pPr>
      <w:r w:rsidRPr="00EB7128">
        <w:t xml:space="preserve"> </w:t>
      </w:r>
    </w:p>
    <w:p w14:paraId="44CDB88B" w14:textId="204AC293" w:rsidR="00A36160" w:rsidRPr="00EB7128" w:rsidRDefault="00AB4711">
      <w:r w:rsidRPr="00EB7128">
        <w:t>A candidate for promotion cannot assume that meeting the minimal criteria is automatically sufficient.  In the period between rank appointment, the faculty member can find guidance for professional growth by viewing the terms expressed in</w:t>
      </w:r>
      <w:r w:rsidR="00301207">
        <w:t xml:space="preserve"> </w:t>
      </w:r>
      <w:r w:rsidRPr="00EB7128">
        <w:t>the letter of offer</w:t>
      </w:r>
      <w:r w:rsidR="00BD0880">
        <w:t xml:space="preserve"> and </w:t>
      </w:r>
      <w:r w:rsidRPr="00EB7128">
        <w:t>the position description</w:t>
      </w:r>
      <w:r w:rsidR="00BD0880">
        <w:t xml:space="preserve">.  Additionally, </w:t>
      </w:r>
      <w:r w:rsidRPr="00EB7128">
        <w:t>annual evaluations completed by supervisor</w:t>
      </w:r>
      <w:r w:rsidR="00B2187D">
        <w:t>(</w:t>
      </w:r>
      <w:r w:rsidRPr="00EB7128">
        <w:t>s</w:t>
      </w:r>
      <w:r w:rsidR="00B2187D">
        <w:t>)</w:t>
      </w:r>
      <w:r w:rsidR="00301207">
        <w:t xml:space="preserve"> </w:t>
      </w:r>
      <w:r w:rsidRPr="00EB7128">
        <w:t>and Annual Faculty Progress Form completed by peers and administrators</w:t>
      </w:r>
      <w:r w:rsidR="003B1427">
        <w:t xml:space="preserve"> will also provide helpful </w:t>
      </w:r>
      <w:r w:rsidR="0065718B">
        <w:t>feedback</w:t>
      </w:r>
      <w:r w:rsidR="003B1427">
        <w:t>.</w:t>
      </w:r>
      <w:r w:rsidRPr="00EB7128">
        <w:t xml:space="preserve"> </w:t>
      </w:r>
    </w:p>
    <w:p w14:paraId="232D8A88" w14:textId="77777777" w:rsidR="00A36160" w:rsidRPr="00EB7128" w:rsidRDefault="00AB4711">
      <w:pPr>
        <w:spacing w:after="0" w:line="259" w:lineRule="auto"/>
        <w:ind w:left="50" w:firstLine="0"/>
      </w:pPr>
      <w:r w:rsidRPr="00EB7128">
        <w:t xml:space="preserve"> </w:t>
      </w:r>
    </w:p>
    <w:p w14:paraId="25285BAC" w14:textId="0FF984B8" w:rsidR="00A36160" w:rsidRPr="00351B94" w:rsidRDefault="00AB4711">
      <w:pPr>
        <w:rPr>
          <w:color w:val="000000" w:themeColor="text1"/>
        </w:rPr>
      </w:pPr>
      <w:r>
        <w:t xml:space="preserve">Promotion decisions are based upon an evaluation of the candidate’s entire record.  A positive sustained upward trajectory between the ranks is expected. Faculty are expected to show evidence of </w:t>
      </w:r>
      <w:r w:rsidR="00774CFD">
        <w:t>s</w:t>
      </w:r>
      <w:r>
        <w:t xml:space="preserve">cholarship in Extension and the key practices </w:t>
      </w:r>
      <w:r w:rsidR="006146E2">
        <w:t xml:space="preserve">of </w:t>
      </w:r>
      <w:r w:rsidR="0014149E">
        <w:t>e</w:t>
      </w:r>
      <w:r w:rsidR="006146E2">
        <w:t>xcellence in</w:t>
      </w:r>
      <w:r>
        <w:t xml:space="preserve"> Extension. </w:t>
      </w:r>
      <w:r w:rsidR="00C24329" w:rsidRPr="007A550C">
        <w:rPr>
          <w:color w:val="000000" w:themeColor="text1"/>
        </w:rPr>
        <w:t>Early academic rank expectations apply to subsequent ranks.</w:t>
      </w:r>
    </w:p>
    <w:p w14:paraId="1851AE47" w14:textId="77777777" w:rsidR="00A36160" w:rsidRPr="00EB7128" w:rsidRDefault="00AB4711">
      <w:pPr>
        <w:spacing w:after="0" w:line="259" w:lineRule="auto"/>
        <w:ind w:left="50" w:firstLine="0"/>
      </w:pPr>
      <w:r w:rsidRPr="00EB7128">
        <w:t xml:space="preserve"> </w:t>
      </w:r>
    </w:p>
    <w:p w14:paraId="109796A3" w14:textId="77777777" w:rsidR="00A36160" w:rsidRPr="00EB7128" w:rsidRDefault="00AB4711">
      <w:pPr>
        <w:pStyle w:val="Heading1"/>
        <w:ind w:left="45"/>
        <w:rPr>
          <w:b/>
          <w:bCs/>
          <w:u w:val="none"/>
        </w:rPr>
      </w:pPr>
      <w:r w:rsidRPr="00EB7128">
        <w:rPr>
          <w:b/>
          <w:bCs/>
          <w:u w:val="none"/>
        </w:rPr>
        <w:t xml:space="preserve">Assistant Extension Educator </w:t>
      </w:r>
    </w:p>
    <w:p w14:paraId="227AB193" w14:textId="658D0008" w:rsidR="00A36160" w:rsidRPr="00EB7128" w:rsidRDefault="00AB4711">
      <w:r w:rsidRPr="00EB7128">
        <w:t>Appointment to the rank of assistant educator signifies that a faculty member is well qualified to launch upon a full-fledged academic career and pursue a personal level of achievement.  This is an individual with initiative, ambition</w:t>
      </w:r>
      <w:r w:rsidR="001F68F7">
        <w:t>,</w:t>
      </w:r>
      <w:r w:rsidR="00B413C9">
        <w:t xml:space="preserve"> </w:t>
      </w:r>
      <w:r w:rsidRPr="00EB7128">
        <w:t xml:space="preserve">and a collaborative spirit.  Qualifications include completion of a </w:t>
      </w:r>
      <w:r w:rsidR="001F68F7">
        <w:t>m</w:t>
      </w:r>
      <w:r w:rsidRPr="00EB7128">
        <w:t xml:space="preserve">aster’s degree. </w:t>
      </w:r>
    </w:p>
    <w:p w14:paraId="57FB1D62" w14:textId="77777777" w:rsidR="00A36160" w:rsidRPr="00EB7128" w:rsidRDefault="00AB4711">
      <w:pPr>
        <w:spacing w:after="0" w:line="259" w:lineRule="auto"/>
        <w:ind w:left="50" w:firstLine="0"/>
      </w:pPr>
      <w:r w:rsidRPr="00EB7128">
        <w:t xml:space="preserve"> </w:t>
      </w:r>
    </w:p>
    <w:p w14:paraId="57A30F4B" w14:textId="77777777" w:rsidR="00A36160" w:rsidRPr="00EB7128" w:rsidRDefault="00AB4711">
      <w:pPr>
        <w:pStyle w:val="Heading1"/>
        <w:ind w:left="45"/>
        <w:rPr>
          <w:b/>
          <w:bCs/>
          <w:u w:val="none"/>
        </w:rPr>
      </w:pPr>
      <w:r w:rsidRPr="00EB7128">
        <w:rPr>
          <w:b/>
          <w:bCs/>
          <w:u w:val="none"/>
        </w:rPr>
        <w:t xml:space="preserve">Associate Extension Educator </w:t>
      </w:r>
    </w:p>
    <w:p w14:paraId="1CC0BDEF" w14:textId="77777777" w:rsidR="003E7F32" w:rsidRDefault="00AB4711" w:rsidP="00BD5F59">
      <w:r>
        <w:t xml:space="preserve">To attain the rank of associate extension educator, the candidate should be an accomplished extension professional with a strong record of scholarly and creative work in extension that fulfills the individual’s job description.  </w:t>
      </w:r>
    </w:p>
    <w:p w14:paraId="1549C550" w14:textId="77777777" w:rsidR="003E7F32" w:rsidRDefault="003E7F32" w:rsidP="00BD5F59"/>
    <w:p w14:paraId="4972F051" w14:textId="77777777" w:rsidR="003E7F32" w:rsidRDefault="00213153" w:rsidP="00BD5F59">
      <w:r>
        <w:t xml:space="preserve">A positive sustained upward trajectory in the </w:t>
      </w:r>
      <w:r w:rsidR="000C3E8F">
        <w:t>s</w:t>
      </w:r>
      <w:r>
        <w:t xml:space="preserve">cholarship of Extension should be evident: identifying key issues; setting goals and objectives with significant impact; delivering a breadth and depth of learning experiences that transforms knowledge to behavior change; engaging people in learning environments for mutual benefit; measuring outcomes and impacts; sharing products and impacts through scholarly work.  </w:t>
      </w:r>
    </w:p>
    <w:p w14:paraId="3F5B190C" w14:textId="77777777" w:rsidR="003E7F32" w:rsidRDefault="003E7F32" w:rsidP="00BD5F59"/>
    <w:p w14:paraId="236AF3B5" w14:textId="38C5F616" w:rsidR="00BD5F59" w:rsidRPr="006E7C08" w:rsidRDefault="00AB4711" w:rsidP="00BD5F59">
      <w:pPr>
        <w:rPr>
          <w:i/>
          <w:iCs/>
        </w:rPr>
      </w:pPr>
      <w:r>
        <w:t xml:space="preserve">The file should demonstrate accomplishments </w:t>
      </w:r>
      <w:r w:rsidR="006146E2">
        <w:t xml:space="preserve">in identified </w:t>
      </w:r>
      <w:r w:rsidR="008C231D">
        <w:t>values</w:t>
      </w:r>
      <w:r w:rsidR="006146E2">
        <w:t xml:space="preserve"> and indicators of Extension </w:t>
      </w:r>
      <w:r w:rsidR="003E7F32">
        <w:t>e</w:t>
      </w:r>
      <w:r w:rsidR="006146E2">
        <w:t>xcellence</w:t>
      </w:r>
      <w:r>
        <w:t xml:space="preserve">: </w:t>
      </w:r>
      <w:r w:rsidR="00A50EE5">
        <w:t>uniquely local</w:t>
      </w:r>
      <w:r w:rsidR="006146E2">
        <w:t>;</w:t>
      </w:r>
      <w:r>
        <w:t xml:space="preserve"> </w:t>
      </w:r>
      <w:r w:rsidR="00A26BF3">
        <w:t>collaborative</w:t>
      </w:r>
      <w:r w:rsidR="006146E2">
        <w:t>;</w:t>
      </w:r>
      <w:r>
        <w:t xml:space="preserve"> </w:t>
      </w:r>
      <w:r w:rsidR="00BB68CD">
        <w:t xml:space="preserve">relevant; </w:t>
      </w:r>
      <w:r w:rsidR="002834EB">
        <w:t xml:space="preserve">accountable; </w:t>
      </w:r>
      <w:r w:rsidR="00664403">
        <w:t>inclusive</w:t>
      </w:r>
      <w:r w:rsidR="00B0563B">
        <w:t xml:space="preserve">; </w:t>
      </w:r>
      <w:r w:rsidR="00AA1190">
        <w:t xml:space="preserve">research-based; </w:t>
      </w:r>
      <w:r w:rsidR="00FD7C66">
        <w:t xml:space="preserve">responsive; </w:t>
      </w:r>
      <w:r w:rsidR="00A54C44">
        <w:t xml:space="preserve">and </w:t>
      </w:r>
      <w:r>
        <w:t>innova</w:t>
      </w:r>
      <w:r w:rsidR="00A54C44">
        <w:t>tive</w:t>
      </w:r>
      <w:r>
        <w:t xml:space="preserve">.  The faculty member </w:t>
      </w:r>
      <w:r w:rsidR="001E673F">
        <w:t>can document a</w:t>
      </w:r>
      <w:r>
        <w:t xml:space="preserve"> reputation for excellence in their discipline and focused area.  Time-in-rank as an assistant educator is </w:t>
      </w:r>
      <w:r w:rsidR="00AE1289">
        <w:t xml:space="preserve">ordinarily at least </w:t>
      </w:r>
      <w:r w:rsidR="00AE1289">
        <w:lastRenderedPageBreak/>
        <w:t xml:space="preserve">five years, and </w:t>
      </w:r>
      <w:r>
        <w:t xml:space="preserve">typically six years.  </w:t>
      </w:r>
      <w:r w:rsidRPr="006E7C08">
        <w:rPr>
          <w:i/>
          <w:iCs/>
        </w:rPr>
        <w:t xml:space="preserve">Earlier promotion implies that the candidate has accomplished in </w:t>
      </w:r>
      <w:r w:rsidR="004C4507" w:rsidRPr="006E7C08">
        <w:rPr>
          <w:i/>
          <w:iCs/>
        </w:rPr>
        <w:t>the</w:t>
      </w:r>
      <w:r w:rsidRPr="006E7C08">
        <w:rPr>
          <w:i/>
          <w:iCs/>
        </w:rPr>
        <w:t xml:space="preserve"> shorter time what </w:t>
      </w:r>
      <w:r w:rsidR="00AE1289" w:rsidRPr="006E7C08">
        <w:rPr>
          <w:i/>
          <w:iCs/>
        </w:rPr>
        <w:t xml:space="preserve">would </w:t>
      </w:r>
      <w:r w:rsidRPr="006E7C08">
        <w:rPr>
          <w:i/>
          <w:iCs/>
        </w:rPr>
        <w:t>normally be expected</w:t>
      </w:r>
      <w:r w:rsidR="00AE1289" w:rsidRPr="006E7C08">
        <w:rPr>
          <w:i/>
          <w:iCs/>
        </w:rPr>
        <w:t xml:space="preserve"> in the longer one.</w:t>
      </w:r>
      <w:r w:rsidRPr="006E7C08">
        <w:rPr>
          <w:i/>
          <w:iCs/>
        </w:rPr>
        <w:t xml:space="preserve">  </w:t>
      </w:r>
      <w:r w:rsidR="00AE1289" w:rsidRPr="006E7C08">
        <w:rPr>
          <w:i/>
          <w:iCs/>
        </w:rPr>
        <w:t xml:space="preserve">Candidates </w:t>
      </w:r>
      <w:r w:rsidR="00952633" w:rsidRPr="006E7C08">
        <w:rPr>
          <w:i/>
          <w:iCs/>
        </w:rPr>
        <w:t>should typically have</w:t>
      </w:r>
      <w:r w:rsidR="0063728B" w:rsidRPr="006E7C08">
        <w:rPr>
          <w:i/>
          <w:iCs/>
        </w:rPr>
        <w:t xml:space="preserve"> a minimum of</w:t>
      </w:r>
      <w:r w:rsidR="00952633" w:rsidRPr="006E7C08">
        <w:rPr>
          <w:i/>
          <w:iCs/>
        </w:rPr>
        <w:t xml:space="preserve"> five years in rank as of </w:t>
      </w:r>
      <w:r w:rsidR="009C35D7" w:rsidRPr="006E7C08">
        <w:rPr>
          <w:i/>
          <w:iCs/>
        </w:rPr>
        <w:t xml:space="preserve">the </w:t>
      </w:r>
      <w:r w:rsidR="00952633" w:rsidRPr="006E7C08">
        <w:rPr>
          <w:i/>
          <w:iCs/>
        </w:rPr>
        <w:t xml:space="preserve">October 1 </w:t>
      </w:r>
      <w:r w:rsidR="009C35D7" w:rsidRPr="006E7C08">
        <w:rPr>
          <w:i/>
          <w:iCs/>
        </w:rPr>
        <w:t>due date for promotion files</w:t>
      </w:r>
      <w:r w:rsidR="00952633" w:rsidRPr="006E7C08">
        <w:rPr>
          <w:i/>
          <w:iCs/>
        </w:rPr>
        <w:t>.</w:t>
      </w:r>
    </w:p>
    <w:p w14:paraId="3DAF2D02" w14:textId="77777777" w:rsidR="00D16170" w:rsidRDefault="00D16170" w:rsidP="00BD5F59">
      <w:pPr>
        <w:rPr>
          <w:b/>
          <w:bCs/>
        </w:rPr>
      </w:pPr>
    </w:p>
    <w:p w14:paraId="6762B74A" w14:textId="5A850F77" w:rsidR="00A36160" w:rsidRPr="00BD5F59" w:rsidRDefault="00AB4711" w:rsidP="00BD5F59">
      <w:r w:rsidRPr="00EB7128">
        <w:rPr>
          <w:b/>
          <w:bCs/>
        </w:rPr>
        <w:t xml:space="preserve">Extension Educator </w:t>
      </w:r>
    </w:p>
    <w:p w14:paraId="42692777" w14:textId="77777777" w:rsidR="00847E36" w:rsidRDefault="00AB4711">
      <w:r w:rsidRPr="00EB7128">
        <w:t xml:space="preserve">The rank of educator is given to faculty whose achievements are sufficient to merit distinguished recognition in their discipline and who hold the professional respect of their colleagues.  </w:t>
      </w:r>
    </w:p>
    <w:p w14:paraId="61D77E3A" w14:textId="77777777" w:rsidR="00847E36" w:rsidRDefault="00847E36"/>
    <w:p w14:paraId="72144E64" w14:textId="0176601C" w:rsidR="003026D1" w:rsidRDefault="00847E36">
      <w:r w:rsidRPr="00EB7128">
        <w:t xml:space="preserve">A positive sustained upward trajectory in </w:t>
      </w:r>
      <w:r w:rsidR="000F21EF">
        <w:t>s</w:t>
      </w:r>
      <w:r w:rsidR="000F21EF" w:rsidRPr="00EB7128">
        <w:t xml:space="preserve">cholarship </w:t>
      </w:r>
      <w:r w:rsidR="000F21EF">
        <w:t xml:space="preserve">in </w:t>
      </w:r>
      <w:r w:rsidR="000F21EF" w:rsidRPr="00EB7128">
        <w:t xml:space="preserve">Extension </w:t>
      </w:r>
      <w:r w:rsidRPr="00EB7128">
        <w:t xml:space="preserve">should be evident: identifying key issues; setting goals and objectives with significant impact; delivering a breadth and depth of learning experiences that transforms knowledge to behavior change; engaging people in learning environments for mutual benefit; measuring outcomes and impacts; sharing products and impacts through scholarly work.  </w:t>
      </w:r>
    </w:p>
    <w:p w14:paraId="5E23D29A" w14:textId="77777777" w:rsidR="003026D1" w:rsidRDefault="003026D1"/>
    <w:p w14:paraId="3CC08C9E" w14:textId="7FE06469" w:rsidR="003026D1" w:rsidRDefault="00AB4711">
      <w:r w:rsidRPr="00EB7128">
        <w:t xml:space="preserve">The file should demonstrate a high level of accomplishments </w:t>
      </w:r>
      <w:r w:rsidR="006146E2" w:rsidRPr="00EB7128">
        <w:t xml:space="preserve">in </w:t>
      </w:r>
      <w:r w:rsidR="001E673F">
        <w:t xml:space="preserve">the </w:t>
      </w:r>
      <w:r w:rsidR="006146E2" w:rsidRPr="00EB7128">
        <w:t xml:space="preserve">identified </w:t>
      </w:r>
      <w:r w:rsidR="005B3F19">
        <w:t>values</w:t>
      </w:r>
      <w:r w:rsidR="006146E2" w:rsidRPr="00EB7128">
        <w:t xml:space="preserve"> and indicators of Extension </w:t>
      </w:r>
      <w:r w:rsidR="00A23BE4">
        <w:t>e</w:t>
      </w:r>
      <w:r w:rsidR="006146E2" w:rsidRPr="00EB7128">
        <w:t xml:space="preserve">xcellence: </w:t>
      </w:r>
      <w:r w:rsidR="005B3F19">
        <w:t>uniquely local; collaborative; relevant; accountable; inclusive; research-based; responsive; and innovative</w:t>
      </w:r>
      <w:r w:rsidR="006146E2" w:rsidRPr="00EB7128">
        <w:t xml:space="preserve">. </w:t>
      </w:r>
    </w:p>
    <w:p w14:paraId="32B2640A" w14:textId="77777777" w:rsidR="003026D1" w:rsidRDefault="003026D1"/>
    <w:p w14:paraId="460E8B43" w14:textId="77777777" w:rsidR="00901E32" w:rsidRDefault="00AB4711">
      <w:r w:rsidRPr="00EB7128">
        <w:t xml:space="preserve">Educators show accomplishments and impacts in two or three </w:t>
      </w:r>
      <w:r w:rsidR="00A6481B" w:rsidRPr="00EB7128">
        <w:t>topic</w:t>
      </w:r>
      <w:r w:rsidRPr="00EB7128">
        <w:t xml:space="preserve"> areas sustained over </w:t>
      </w:r>
      <w:r w:rsidR="00B413C9" w:rsidRPr="00EB7128">
        <w:t>several</w:t>
      </w:r>
      <w:r w:rsidRPr="00EB7128">
        <w:t xml:space="preserve"> years with significant depth and breadth of programming.  The impact of their work is demonstrated in behavior change, and application of knowledge.  The quality of the work should be sufficient to merit regional and national recognition.  </w:t>
      </w:r>
    </w:p>
    <w:p w14:paraId="4C57C119" w14:textId="77777777" w:rsidR="00901E32" w:rsidRDefault="00901E32"/>
    <w:p w14:paraId="511E7E74" w14:textId="37016A4C" w:rsidR="00A36160" w:rsidRPr="006E7C08" w:rsidRDefault="00AB4711">
      <w:pPr>
        <w:rPr>
          <w:i/>
          <w:iCs/>
        </w:rPr>
      </w:pPr>
      <w:r w:rsidRPr="00EB7128">
        <w:t xml:space="preserve">The record must show evidence of sustained excellence over an extended </w:t>
      </w:r>
      <w:proofErr w:type="gramStart"/>
      <w:r w:rsidRPr="00EB7128">
        <w:t>period of time</w:t>
      </w:r>
      <w:proofErr w:type="gramEnd"/>
      <w:r w:rsidRPr="00EB7128">
        <w:t xml:space="preserve">.  </w:t>
      </w:r>
      <w:r w:rsidRPr="006E7C08">
        <w:rPr>
          <w:i/>
          <w:iCs/>
        </w:rPr>
        <w:t>Ordinarily, time</w:t>
      </w:r>
      <w:r w:rsidR="006146E2" w:rsidRPr="006E7C08">
        <w:rPr>
          <w:i/>
          <w:iCs/>
        </w:rPr>
        <w:t xml:space="preserve"> </w:t>
      </w:r>
      <w:r w:rsidRPr="006E7C08">
        <w:rPr>
          <w:i/>
          <w:iCs/>
        </w:rPr>
        <w:t xml:space="preserve">in-rank as an associate educator is </w:t>
      </w:r>
      <w:r w:rsidR="00952633" w:rsidRPr="006E7C08">
        <w:rPr>
          <w:i/>
          <w:iCs/>
        </w:rPr>
        <w:t>at least six years, and typically</w:t>
      </w:r>
      <w:r w:rsidRPr="006E7C08">
        <w:rPr>
          <w:i/>
          <w:iCs/>
        </w:rPr>
        <w:t xml:space="preserve"> seven years. </w:t>
      </w:r>
      <w:r w:rsidR="007D772A" w:rsidRPr="006E7C08">
        <w:rPr>
          <w:i/>
          <w:iCs/>
        </w:rPr>
        <w:t xml:space="preserve"> </w:t>
      </w:r>
      <w:r w:rsidR="007D772A" w:rsidRPr="006E7C08">
        <w:rPr>
          <w:i/>
          <w:iCs/>
          <w:color w:val="000000" w:themeColor="text1"/>
        </w:rPr>
        <w:t xml:space="preserve">Earlier promotion implies that the candidate has accomplished in </w:t>
      </w:r>
      <w:r w:rsidR="004C4507" w:rsidRPr="006E7C08">
        <w:rPr>
          <w:i/>
          <w:iCs/>
          <w:color w:val="000000" w:themeColor="text1"/>
        </w:rPr>
        <w:t>the</w:t>
      </w:r>
      <w:r w:rsidR="007D772A" w:rsidRPr="006E7C08">
        <w:rPr>
          <w:i/>
          <w:iCs/>
          <w:color w:val="000000" w:themeColor="text1"/>
        </w:rPr>
        <w:t xml:space="preserve"> shorter time what </w:t>
      </w:r>
      <w:r w:rsidR="00952633" w:rsidRPr="006E7C08">
        <w:rPr>
          <w:i/>
          <w:iCs/>
          <w:color w:val="000000" w:themeColor="text1"/>
        </w:rPr>
        <w:t xml:space="preserve">would </w:t>
      </w:r>
      <w:r w:rsidR="007D772A" w:rsidRPr="006E7C08">
        <w:rPr>
          <w:i/>
          <w:iCs/>
          <w:color w:val="000000" w:themeColor="text1"/>
        </w:rPr>
        <w:t>normally be expected</w:t>
      </w:r>
      <w:r w:rsidR="00952633" w:rsidRPr="006E7C08">
        <w:rPr>
          <w:i/>
          <w:iCs/>
          <w:color w:val="000000" w:themeColor="text1"/>
        </w:rPr>
        <w:t xml:space="preserve"> in the longer one.  Candidates should typically have </w:t>
      </w:r>
      <w:r w:rsidR="0063728B" w:rsidRPr="006E7C08">
        <w:rPr>
          <w:i/>
          <w:iCs/>
          <w:color w:val="000000" w:themeColor="text1"/>
        </w:rPr>
        <w:t xml:space="preserve">a minimum of </w:t>
      </w:r>
      <w:r w:rsidR="00952633" w:rsidRPr="006E7C08">
        <w:rPr>
          <w:i/>
          <w:iCs/>
          <w:color w:val="000000" w:themeColor="text1"/>
        </w:rPr>
        <w:t xml:space="preserve">six years in rank as of </w:t>
      </w:r>
      <w:r w:rsidR="009C35D7" w:rsidRPr="006E7C08">
        <w:rPr>
          <w:i/>
          <w:iCs/>
          <w:color w:val="000000" w:themeColor="text1"/>
        </w:rPr>
        <w:t xml:space="preserve">the </w:t>
      </w:r>
      <w:r w:rsidR="00952633" w:rsidRPr="006E7C08">
        <w:rPr>
          <w:i/>
          <w:iCs/>
          <w:color w:val="000000" w:themeColor="text1"/>
        </w:rPr>
        <w:t xml:space="preserve">October 1 </w:t>
      </w:r>
      <w:r w:rsidR="009C35D7" w:rsidRPr="006E7C08">
        <w:rPr>
          <w:i/>
          <w:iCs/>
          <w:color w:val="000000" w:themeColor="text1"/>
        </w:rPr>
        <w:t>due date for promotion files</w:t>
      </w:r>
      <w:r w:rsidR="00952633" w:rsidRPr="006E7C08">
        <w:rPr>
          <w:i/>
          <w:iCs/>
          <w:color w:val="000000" w:themeColor="text1"/>
        </w:rPr>
        <w:t>.</w:t>
      </w:r>
    </w:p>
    <w:p w14:paraId="19E6098D" w14:textId="77777777" w:rsidR="00A36160" w:rsidRPr="00EB7128" w:rsidRDefault="00AB4711">
      <w:pPr>
        <w:spacing w:after="14" w:line="259" w:lineRule="auto"/>
        <w:ind w:left="71" w:firstLine="0"/>
        <w:jc w:val="center"/>
      </w:pPr>
      <w:r w:rsidRPr="00EB7128">
        <w:rPr>
          <w:b/>
        </w:rPr>
        <w:t xml:space="preserve"> </w:t>
      </w:r>
    </w:p>
    <w:p w14:paraId="29091ECC" w14:textId="37C1B490" w:rsidR="00A36160" w:rsidRPr="00EB7128" w:rsidRDefault="00AB4711">
      <w:pPr>
        <w:pStyle w:val="Heading1"/>
        <w:ind w:left="-5"/>
      </w:pPr>
      <w:r w:rsidRPr="00EB7128">
        <w:rPr>
          <w:b/>
          <w:sz w:val="28"/>
          <w:u w:val="none"/>
        </w:rPr>
        <w:t xml:space="preserve">Scholarship </w:t>
      </w:r>
      <w:r w:rsidR="006146E2" w:rsidRPr="00EB7128">
        <w:rPr>
          <w:b/>
          <w:sz w:val="28"/>
          <w:u w:val="none"/>
        </w:rPr>
        <w:t>in Extension</w:t>
      </w:r>
    </w:p>
    <w:p w14:paraId="5DEF30E7" w14:textId="77777777" w:rsidR="00A36160" w:rsidRPr="00EB7128" w:rsidRDefault="00AB4711">
      <w:pPr>
        <w:spacing w:after="36"/>
        <w:ind w:left="10"/>
      </w:pPr>
      <w:r w:rsidRPr="00EB7128">
        <w:t xml:space="preserve">Scholarship in Extension is a process that should be clearly documented: </w:t>
      </w:r>
    </w:p>
    <w:p w14:paraId="3C3401FC" w14:textId="62CD3F53" w:rsidR="00A36160" w:rsidRPr="00EB7128" w:rsidRDefault="00AB4711">
      <w:pPr>
        <w:numPr>
          <w:ilvl w:val="0"/>
          <w:numId w:val="1"/>
        </w:numPr>
        <w:ind w:hanging="360"/>
      </w:pPr>
      <w:r w:rsidRPr="00EB7128">
        <w:t>Identif</w:t>
      </w:r>
      <w:r w:rsidR="006146E2" w:rsidRPr="00EB7128">
        <w:t>y</w:t>
      </w:r>
      <w:r w:rsidRPr="00EB7128">
        <w:t xml:space="preserve"> complex emerging and relevant issues.  </w:t>
      </w:r>
    </w:p>
    <w:p w14:paraId="323CE1E3" w14:textId="410D2D80" w:rsidR="00A36160" w:rsidRPr="00EB7128" w:rsidRDefault="00AB4711">
      <w:pPr>
        <w:numPr>
          <w:ilvl w:val="0"/>
          <w:numId w:val="1"/>
        </w:numPr>
        <w:ind w:hanging="360"/>
      </w:pPr>
      <w:r w:rsidRPr="00EB7128">
        <w:t>Set goals that reflect intended social, environmental</w:t>
      </w:r>
      <w:r w:rsidR="00EC131C">
        <w:t>,</w:t>
      </w:r>
      <w:r w:rsidRPr="00EB7128">
        <w:t xml:space="preserve"> and economic impacts. </w:t>
      </w:r>
    </w:p>
    <w:p w14:paraId="64B283ED" w14:textId="77033DEC" w:rsidR="00A36160" w:rsidRPr="00EB7128" w:rsidRDefault="00AB4711">
      <w:pPr>
        <w:numPr>
          <w:ilvl w:val="0"/>
          <w:numId w:val="1"/>
        </w:numPr>
        <w:ind w:hanging="360"/>
      </w:pPr>
      <w:r w:rsidRPr="00EB7128">
        <w:t xml:space="preserve">Set objectives that anticipate change and significant outcomes. </w:t>
      </w:r>
    </w:p>
    <w:p w14:paraId="2F7BF95C" w14:textId="526B80B8" w:rsidR="00A36160" w:rsidRPr="00EB7128" w:rsidRDefault="00AB4711">
      <w:pPr>
        <w:numPr>
          <w:ilvl w:val="0"/>
          <w:numId w:val="1"/>
        </w:numPr>
        <w:spacing w:after="40"/>
        <w:ind w:hanging="360"/>
      </w:pPr>
      <w:r w:rsidRPr="00EB7128">
        <w:t xml:space="preserve">Deliver a breadth and depth of learning experiences that transform knowledge into attitude change and behavior change. </w:t>
      </w:r>
    </w:p>
    <w:p w14:paraId="421A053B" w14:textId="0E62E6A1" w:rsidR="00A36160" w:rsidRPr="00EB7128" w:rsidRDefault="00AB4711">
      <w:pPr>
        <w:numPr>
          <w:ilvl w:val="0"/>
          <w:numId w:val="1"/>
        </w:numPr>
        <w:spacing w:after="40"/>
        <w:ind w:hanging="360"/>
      </w:pPr>
      <w:r>
        <w:t>Engage people for mutual benefit, develop learning environments, crea</w:t>
      </w:r>
      <w:r w:rsidR="006146E2">
        <w:t>te</w:t>
      </w:r>
      <w:r>
        <w:t xml:space="preserve"> knowledge</w:t>
      </w:r>
      <w:r w:rsidR="001E673F">
        <w:t>,</w:t>
      </w:r>
      <w:r>
        <w:t xml:space="preserve"> and sol</w:t>
      </w:r>
      <w:r w:rsidR="006146E2">
        <w:t>ve</w:t>
      </w:r>
      <w:r>
        <w:t xml:space="preserve"> problems. </w:t>
      </w:r>
    </w:p>
    <w:p w14:paraId="7B4774DB" w14:textId="6EC38797" w:rsidR="00A36160" w:rsidRPr="00EB7128" w:rsidRDefault="00AB4711">
      <w:pPr>
        <w:numPr>
          <w:ilvl w:val="0"/>
          <w:numId w:val="1"/>
        </w:numPr>
        <w:spacing w:after="41"/>
        <w:ind w:hanging="360"/>
      </w:pPr>
      <w:r w:rsidRPr="00EB7128">
        <w:lastRenderedPageBreak/>
        <w:t xml:space="preserve">Measure the outcomes (actual change in behaviors) </w:t>
      </w:r>
      <w:r w:rsidR="001E673F">
        <w:t xml:space="preserve">and impacts </w:t>
      </w:r>
      <w:r w:rsidR="001E673F" w:rsidRPr="00EB7128">
        <w:t>(social, environmental</w:t>
      </w:r>
      <w:r w:rsidR="00B772AF">
        <w:t>,</w:t>
      </w:r>
      <w:r w:rsidR="001E673F" w:rsidRPr="00EB7128">
        <w:t xml:space="preserve"> or economic change)</w:t>
      </w:r>
      <w:r w:rsidR="001E673F">
        <w:t xml:space="preserve"> that demonstrate progress towards meaningful goals.</w:t>
      </w:r>
      <w:r w:rsidRPr="00EB7128">
        <w:t xml:space="preserve"> </w:t>
      </w:r>
    </w:p>
    <w:p w14:paraId="7F5B003F" w14:textId="51C8326B" w:rsidR="00A36160" w:rsidRPr="00EB7128" w:rsidRDefault="00AB4711">
      <w:pPr>
        <w:numPr>
          <w:ilvl w:val="0"/>
          <w:numId w:val="1"/>
        </w:numPr>
        <w:ind w:hanging="360"/>
      </w:pPr>
      <w:r w:rsidRPr="00EB7128">
        <w:t xml:space="preserve">Share products and impacts through scholarly presentations and writings. </w:t>
      </w:r>
    </w:p>
    <w:p w14:paraId="6125797B" w14:textId="77777777" w:rsidR="00A36160" w:rsidRPr="00EB7128" w:rsidRDefault="00AB4711">
      <w:pPr>
        <w:spacing w:after="14" w:line="259" w:lineRule="auto"/>
        <w:ind w:left="0" w:firstLine="0"/>
      </w:pPr>
      <w:r w:rsidRPr="00EB7128">
        <w:t xml:space="preserve"> </w:t>
      </w:r>
    </w:p>
    <w:p w14:paraId="63E09792" w14:textId="33A7950B" w:rsidR="006146E2" w:rsidRPr="00EB7128" w:rsidRDefault="001B73CB">
      <w:pPr>
        <w:pStyle w:val="Heading1"/>
        <w:ind w:left="-5"/>
        <w:rPr>
          <w:b/>
          <w:sz w:val="28"/>
          <w:u w:val="none"/>
        </w:rPr>
      </w:pPr>
      <w:r>
        <w:rPr>
          <w:b/>
          <w:sz w:val="28"/>
          <w:u w:val="none"/>
        </w:rPr>
        <w:t xml:space="preserve">Values in </w:t>
      </w:r>
      <w:r w:rsidRPr="00EB7128">
        <w:rPr>
          <w:b/>
          <w:sz w:val="28"/>
          <w:u w:val="none"/>
        </w:rPr>
        <w:t>Extension</w:t>
      </w:r>
      <w:r>
        <w:rPr>
          <w:b/>
          <w:sz w:val="28"/>
          <w:u w:val="none"/>
        </w:rPr>
        <w:t xml:space="preserve"> </w:t>
      </w:r>
      <w:r w:rsidR="006146E2" w:rsidRPr="00EB7128">
        <w:rPr>
          <w:b/>
          <w:sz w:val="28"/>
          <w:u w:val="none"/>
        </w:rPr>
        <w:t xml:space="preserve">Excellence </w:t>
      </w:r>
    </w:p>
    <w:p w14:paraId="05AC22B6" w14:textId="5C743944" w:rsidR="006146E2" w:rsidRPr="00EB7128" w:rsidRDefault="006146E2" w:rsidP="4C94F9A4">
      <w:pPr>
        <w:pStyle w:val="Heading1"/>
        <w:ind w:left="-5"/>
        <w:rPr>
          <w:u w:val="none"/>
        </w:rPr>
      </w:pPr>
      <w:r>
        <w:rPr>
          <w:u w:val="none"/>
        </w:rPr>
        <w:t xml:space="preserve">These quality attributes are essential to excellence as an Extension professional. The </w:t>
      </w:r>
      <w:r w:rsidR="00B2187D">
        <w:rPr>
          <w:u w:val="none"/>
        </w:rPr>
        <w:t xml:space="preserve">following </w:t>
      </w:r>
      <w:r w:rsidR="00DE2414">
        <w:rPr>
          <w:u w:val="none"/>
        </w:rPr>
        <w:t>values</w:t>
      </w:r>
      <w:r>
        <w:rPr>
          <w:u w:val="none"/>
        </w:rPr>
        <w:t xml:space="preserve"> are integral to creation and delivery of learning experiences focused on critical issues that empower Nebraskans to improve their lives.</w:t>
      </w:r>
    </w:p>
    <w:p w14:paraId="75B2429D" w14:textId="3A23ACE2" w:rsidR="00A36160" w:rsidRPr="00EB7128" w:rsidRDefault="00AB4711">
      <w:pPr>
        <w:pStyle w:val="Heading1"/>
        <w:ind w:left="-5"/>
      </w:pPr>
      <w:r w:rsidRPr="00EB7128">
        <w:rPr>
          <w:b/>
          <w:sz w:val="28"/>
          <w:u w:val="none"/>
        </w:rPr>
        <w:t xml:space="preserve"> </w:t>
      </w:r>
    </w:p>
    <w:p w14:paraId="0276DA89" w14:textId="7B71E7CE" w:rsidR="0090122C" w:rsidRPr="00EB7128" w:rsidRDefault="00B26E18" w:rsidP="00BD5F59">
      <w:pPr>
        <w:ind w:left="10"/>
      </w:pPr>
      <w:r>
        <w:rPr>
          <w:b/>
          <w:bCs/>
        </w:rPr>
        <w:t>Uniquely local</w:t>
      </w:r>
      <w:r>
        <w:t xml:space="preserve"> </w:t>
      </w:r>
      <w:r w:rsidR="00AB4711">
        <w:t xml:space="preserve">- </w:t>
      </w:r>
      <w:r w:rsidR="00CB5836" w:rsidRPr="00CB5836">
        <w:t>We are where you are. We are the only team bringing the resources of the University of Nebraska to all 93 Nebraska counties, serving the distinct needs of Nebraskans from all walks of life in every corner of the state.</w:t>
      </w:r>
    </w:p>
    <w:p w14:paraId="527829CB" w14:textId="77777777" w:rsidR="007D772A" w:rsidRDefault="007D772A" w:rsidP="0090122C">
      <w:pPr>
        <w:ind w:left="10"/>
        <w:rPr>
          <w:b/>
        </w:rPr>
      </w:pPr>
    </w:p>
    <w:p w14:paraId="1EAD825F" w14:textId="5953DD03" w:rsidR="002600DB" w:rsidRPr="00EB7128" w:rsidRDefault="00CB5836" w:rsidP="4C94F9A4">
      <w:pPr>
        <w:ind w:left="10" w:firstLine="0"/>
      </w:pPr>
      <w:r>
        <w:rPr>
          <w:b/>
          <w:bCs/>
        </w:rPr>
        <w:t>Collaborative</w:t>
      </w:r>
      <w:r>
        <w:t xml:space="preserve"> </w:t>
      </w:r>
      <w:r w:rsidR="00AB4711">
        <w:t xml:space="preserve">- </w:t>
      </w:r>
      <w:r w:rsidR="002600DB" w:rsidRPr="002600DB">
        <w:t>We love working with our fellow Nebraskans.  We convene stakeholders, leaders, experts, and learners to co-create solutions that make a positive impact on complex issues facing Nebraskans.</w:t>
      </w:r>
    </w:p>
    <w:p w14:paraId="49FD2CA0" w14:textId="77777777" w:rsidR="00384D68" w:rsidRDefault="00384D68" w:rsidP="00384D68">
      <w:pPr>
        <w:ind w:left="10"/>
      </w:pPr>
    </w:p>
    <w:p w14:paraId="0F885917" w14:textId="0152B361" w:rsidR="00384D68" w:rsidRPr="00EB7128" w:rsidRDefault="00384D68" w:rsidP="00384D68">
      <w:pPr>
        <w:ind w:left="10"/>
      </w:pPr>
      <w:r w:rsidRPr="4C94F9A4">
        <w:rPr>
          <w:b/>
          <w:bCs/>
        </w:rPr>
        <w:t>Relevan</w:t>
      </w:r>
      <w:r>
        <w:rPr>
          <w:b/>
          <w:bCs/>
        </w:rPr>
        <w:t>t</w:t>
      </w:r>
      <w:r w:rsidRPr="4C94F9A4">
        <w:rPr>
          <w:b/>
          <w:bCs/>
        </w:rPr>
        <w:t xml:space="preserve"> – </w:t>
      </w:r>
      <w:r w:rsidRPr="00384D68">
        <w:t>If it’s important to you, it’s important to us. We leverage the fundamental strengths of Nebraskans and the University to create results that truly matter to lives and livelihoods.</w:t>
      </w:r>
    </w:p>
    <w:p w14:paraId="37A3F898" w14:textId="77777777" w:rsidR="008953AD" w:rsidRDefault="008953AD" w:rsidP="008953AD">
      <w:pPr>
        <w:ind w:left="10"/>
        <w:rPr>
          <w:b/>
          <w:bCs/>
        </w:rPr>
      </w:pPr>
    </w:p>
    <w:p w14:paraId="43B0850E" w14:textId="58E12AF5" w:rsidR="008953AD" w:rsidRPr="00EB7128" w:rsidRDefault="008953AD" w:rsidP="008953AD">
      <w:pPr>
        <w:ind w:left="10"/>
      </w:pPr>
      <w:r>
        <w:rPr>
          <w:b/>
          <w:bCs/>
        </w:rPr>
        <w:t>Accountable</w:t>
      </w:r>
      <w:r w:rsidRPr="4C94F9A4">
        <w:rPr>
          <w:b/>
          <w:bCs/>
        </w:rPr>
        <w:t xml:space="preserve"> – </w:t>
      </w:r>
      <w:r w:rsidRPr="008953AD">
        <w:t xml:space="preserve">We answer to the Nebraskans we serve.  We return Nebraskans’ investment in their </w:t>
      </w:r>
      <w:r w:rsidR="00710E52" w:rsidRPr="008953AD">
        <w:t>university</w:t>
      </w:r>
      <w:r w:rsidRPr="008953AD">
        <w:t xml:space="preserve"> directly to their counties and communities showing proof of performance. </w:t>
      </w:r>
    </w:p>
    <w:p w14:paraId="01F882D6" w14:textId="77777777" w:rsidR="003D3989" w:rsidRDefault="003D3989" w:rsidP="002600DB">
      <w:pPr>
        <w:ind w:left="10" w:firstLine="0"/>
        <w:rPr>
          <w:b/>
          <w:bCs/>
          <w:color w:val="000000" w:themeColor="text1"/>
        </w:rPr>
      </w:pPr>
    </w:p>
    <w:p w14:paraId="109F7BF9" w14:textId="2C7E113B" w:rsidR="00A36160" w:rsidRPr="00EB7128" w:rsidRDefault="002C3B19" w:rsidP="002600DB">
      <w:pPr>
        <w:ind w:left="10" w:firstLine="0"/>
      </w:pPr>
      <w:r>
        <w:rPr>
          <w:b/>
          <w:bCs/>
          <w:color w:val="000000" w:themeColor="text1"/>
        </w:rPr>
        <w:t>Accessible</w:t>
      </w:r>
      <w:r w:rsidR="003D3989" w:rsidRPr="4C94F9A4">
        <w:rPr>
          <w:color w:val="000000" w:themeColor="text1"/>
        </w:rPr>
        <w:t xml:space="preserve"> - </w:t>
      </w:r>
      <w:r w:rsidR="003D3989" w:rsidRPr="003D3989">
        <w:rPr>
          <w:color w:val="000000" w:themeColor="text1"/>
        </w:rPr>
        <w:t xml:space="preserve">We’re here to serve all Nebraskans.  We respect </w:t>
      </w:r>
      <w:r>
        <w:rPr>
          <w:color w:val="000000" w:themeColor="text1"/>
        </w:rPr>
        <w:t>each</w:t>
      </w:r>
      <w:r w:rsidR="003D3989" w:rsidRPr="003D3989">
        <w:rPr>
          <w:color w:val="000000" w:themeColor="text1"/>
        </w:rPr>
        <w:t xml:space="preserve"> person and every interaction and </w:t>
      </w:r>
      <w:r>
        <w:rPr>
          <w:color w:val="000000" w:themeColor="text1"/>
        </w:rPr>
        <w:t>are committed to building a</w:t>
      </w:r>
      <w:r w:rsidR="003D3989" w:rsidRPr="003D3989">
        <w:rPr>
          <w:color w:val="000000" w:themeColor="text1"/>
        </w:rPr>
        <w:t xml:space="preserve"> culture </w:t>
      </w:r>
      <w:r>
        <w:rPr>
          <w:color w:val="000000" w:themeColor="text1"/>
        </w:rPr>
        <w:t>that provides open,</w:t>
      </w:r>
      <w:r w:rsidR="003D3989" w:rsidRPr="003D3989">
        <w:rPr>
          <w:color w:val="000000" w:themeColor="text1"/>
        </w:rPr>
        <w:t xml:space="preserve"> meaningful learning </w:t>
      </w:r>
      <w:r w:rsidR="00710E52">
        <w:rPr>
          <w:color w:val="000000" w:themeColor="text1"/>
        </w:rPr>
        <w:t xml:space="preserve">opportunities </w:t>
      </w:r>
      <w:r w:rsidR="00710E52" w:rsidRPr="003D3989">
        <w:rPr>
          <w:color w:val="000000" w:themeColor="text1"/>
        </w:rPr>
        <w:t>for</w:t>
      </w:r>
      <w:r w:rsidR="003D3989" w:rsidRPr="003D3989">
        <w:rPr>
          <w:color w:val="000000" w:themeColor="text1"/>
        </w:rPr>
        <w:t xml:space="preserve"> everyone.</w:t>
      </w:r>
    </w:p>
    <w:p w14:paraId="1AE6B276" w14:textId="77777777" w:rsidR="003D3989" w:rsidRDefault="003D3989" w:rsidP="006146E2">
      <w:pPr>
        <w:ind w:left="10"/>
        <w:rPr>
          <w:b/>
          <w:bCs/>
        </w:rPr>
      </w:pPr>
    </w:p>
    <w:p w14:paraId="5B787119" w14:textId="77777777" w:rsidR="00E50A51" w:rsidRDefault="00E50A51" w:rsidP="00E50A51">
      <w:pPr>
        <w:ind w:left="0" w:firstLine="0"/>
        <w:rPr>
          <w:color w:val="000000" w:themeColor="text1"/>
        </w:rPr>
      </w:pPr>
      <w:r w:rsidRPr="4C94F9A4">
        <w:rPr>
          <w:b/>
          <w:bCs/>
        </w:rPr>
        <w:t>Research</w:t>
      </w:r>
      <w:r>
        <w:rPr>
          <w:b/>
          <w:bCs/>
        </w:rPr>
        <w:t>-based</w:t>
      </w:r>
      <w:r w:rsidRPr="4C94F9A4">
        <w:rPr>
          <w:b/>
          <w:bCs/>
        </w:rPr>
        <w:t xml:space="preserve"> –</w:t>
      </w:r>
      <w:r>
        <w:t xml:space="preserve"> </w:t>
      </w:r>
      <w:r w:rsidRPr="00B16EC4">
        <w:t>You can count on us for unbiased information. We provide scientifically sound insight that helps Nebraskans make important decisions with even greater confidence.</w:t>
      </w:r>
    </w:p>
    <w:p w14:paraId="75F2009A" w14:textId="77777777" w:rsidR="00E50A51" w:rsidRDefault="00E50A51" w:rsidP="006146E2">
      <w:pPr>
        <w:ind w:left="10"/>
        <w:rPr>
          <w:b/>
          <w:bCs/>
        </w:rPr>
      </w:pPr>
    </w:p>
    <w:p w14:paraId="74729F61" w14:textId="77777777" w:rsidR="000131B4" w:rsidRPr="00EB7128" w:rsidRDefault="000131B4" w:rsidP="000131B4">
      <w:pPr>
        <w:ind w:left="10"/>
      </w:pPr>
      <w:r>
        <w:rPr>
          <w:b/>
          <w:bCs/>
        </w:rPr>
        <w:t>Responsive</w:t>
      </w:r>
      <w:r w:rsidRPr="4C94F9A4">
        <w:rPr>
          <w:b/>
          <w:bCs/>
        </w:rPr>
        <w:t xml:space="preserve"> – </w:t>
      </w:r>
      <w:r w:rsidRPr="000131B4">
        <w:t>We’re ready when and where Nebraskans need us. We listen to what’s on the minds of Nebraskans and assemble the right teams with the right expertise to address their challenges and capitalize on opportunities.</w:t>
      </w:r>
    </w:p>
    <w:p w14:paraId="3C9DE555" w14:textId="77777777" w:rsidR="006146E2" w:rsidRPr="00EB7128" w:rsidRDefault="006146E2" w:rsidP="008010F8">
      <w:pPr>
        <w:ind w:left="0" w:firstLine="0"/>
      </w:pPr>
    </w:p>
    <w:p w14:paraId="6A880791" w14:textId="0855D340" w:rsidR="006146E2" w:rsidRPr="00EB7128" w:rsidRDefault="006146E2" w:rsidP="008A5619">
      <w:pPr>
        <w:ind w:left="10"/>
      </w:pPr>
      <w:r w:rsidRPr="4C94F9A4">
        <w:rPr>
          <w:b/>
          <w:bCs/>
        </w:rPr>
        <w:t>Innovat</w:t>
      </w:r>
      <w:r w:rsidR="004D01C8">
        <w:rPr>
          <w:b/>
          <w:bCs/>
        </w:rPr>
        <w:t>ive</w:t>
      </w:r>
      <w:r w:rsidRPr="4C94F9A4">
        <w:rPr>
          <w:b/>
          <w:bCs/>
        </w:rPr>
        <w:t xml:space="preserve"> - </w:t>
      </w:r>
      <w:r w:rsidR="008A5619" w:rsidRPr="008A5619">
        <w:t xml:space="preserve">We’re never satisfied with the status quo. We anticipate and embrace change and continually challenge ourselves and our stakeholders to take a “what if?” and “why not?” approach to problem-solving. </w:t>
      </w:r>
    </w:p>
    <w:p w14:paraId="42C1E9C4" w14:textId="07AE0A41" w:rsidR="00FC2178" w:rsidRDefault="00FC2178" w:rsidP="4C94F9A4">
      <w:pPr>
        <w:ind w:left="0" w:firstLine="0"/>
        <w:rPr>
          <w:color w:val="000000" w:themeColor="text1"/>
        </w:rPr>
      </w:pPr>
    </w:p>
    <w:p w14:paraId="0AFB7BF7" w14:textId="77777777" w:rsidR="000F5CB0" w:rsidRDefault="000F5CB0" w:rsidP="4C94F9A4">
      <w:pPr>
        <w:ind w:left="0" w:firstLine="0"/>
        <w:rPr>
          <w:color w:val="000000" w:themeColor="text1"/>
        </w:rPr>
      </w:pPr>
    </w:p>
    <w:p w14:paraId="3ACC0707" w14:textId="40365FD9" w:rsidR="00FC2178" w:rsidRDefault="00FC2178" w:rsidP="4C94F9A4">
      <w:pPr>
        <w:ind w:left="0" w:firstLine="0"/>
        <w:rPr>
          <w:color w:val="000000" w:themeColor="text1"/>
        </w:rPr>
      </w:pPr>
    </w:p>
    <w:p w14:paraId="0107EC8A" w14:textId="291C20AB" w:rsidR="00FC2178" w:rsidRPr="0065718B" w:rsidRDefault="002C3B19" w:rsidP="0065718B">
      <w:pPr>
        <w:ind w:left="0" w:firstLine="0"/>
        <w:jc w:val="right"/>
        <w:rPr>
          <w:i/>
          <w:iCs/>
          <w:color w:val="000000" w:themeColor="text1"/>
        </w:rPr>
      </w:pPr>
      <w:r>
        <w:rPr>
          <w:i/>
          <w:iCs/>
          <w:color w:val="000000" w:themeColor="text1"/>
        </w:rPr>
        <w:t>October</w:t>
      </w:r>
      <w:r w:rsidR="00A43258" w:rsidRPr="0065718B">
        <w:rPr>
          <w:i/>
          <w:iCs/>
          <w:color w:val="000000" w:themeColor="text1"/>
        </w:rPr>
        <w:t xml:space="preserve"> </w:t>
      </w:r>
      <w:r>
        <w:rPr>
          <w:i/>
          <w:iCs/>
          <w:color w:val="000000" w:themeColor="text1"/>
        </w:rPr>
        <w:t>15</w:t>
      </w:r>
      <w:r w:rsidR="00FC2178" w:rsidRPr="0065718B">
        <w:rPr>
          <w:i/>
          <w:iCs/>
          <w:color w:val="000000" w:themeColor="text1"/>
        </w:rPr>
        <w:t>, 202</w:t>
      </w:r>
      <w:r>
        <w:rPr>
          <w:i/>
          <w:iCs/>
          <w:color w:val="000000" w:themeColor="text1"/>
        </w:rPr>
        <w:t>5</w:t>
      </w:r>
    </w:p>
    <w:sectPr w:rsidR="00FC2178" w:rsidRPr="0065718B">
      <w:footerReference w:type="default" r:id="rId10"/>
      <w:pgSz w:w="12240" w:h="15840"/>
      <w:pgMar w:top="1246" w:right="1452" w:bottom="1561"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CB5D8" w14:textId="77777777" w:rsidR="00515C78" w:rsidRDefault="00515C78" w:rsidP="006146E2">
      <w:pPr>
        <w:spacing w:after="0" w:line="240" w:lineRule="auto"/>
      </w:pPr>
      <w:r>
        <w:separator/>
      </w:r>
    </w:p>
  </w:endnote>
  <w:endnote w:type="continuationSeparator" w:id="0">
    <w:p w14:paraId="7ED07BA1" w14:textId="77777777" w:rsidR="00515C78" w:rsidRDefault="00515C78" w:rsidP="00614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427A" w14:textId="77777777" w:rsidR="006146E2" w:rsidRDefault="00614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4A1D0" w14:textId="77777777" w:rsidR="00515C78" w:rsidRDefault="00515C78" w:rsidP="006146E2">
      <w:pPr>
        <w:spacing w:after="0" w:line="240" w:lineRule="auto"/>
      </w:pPr>
      <w:r>
        <w:separator/>
      </w:r>
    </w:p>
  </w:footnote>
  <w:footnote w:type="continuationSeparator" w:id="0">
    <w:p w14:paraId="5EC755BB" w14:textId="77777777" w:rsidR="00515C78" w:rsidRDefault="00515C78" w:rsidP="00614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D2036"/>
    <w:multiLevelType w:val="hybridMultilevel"/>
    <w:tmpl w:val="695A3D74"/>
    <w:lvl w:ilvl="0" w:tplc="A46C42DE">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1E301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F49F9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D475F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00507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14FCC8">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52212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6CBD42">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70B65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8D54E83"/>
    <w:multiLevelType w:val="hybridMultilevel"/>
    <w:tmpl w:val="94CCC61A"/>
    <w:lvl w:ilvl="0" w:tplc="6F742092">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0C48C4">
      <w:start w:val="1"/>
      <w:numFmt w:val="bullet"/>
      <w:lvlText w:val="o"/>
      <w:lvlJc w:val="left"/>
      <w:pPr>
        <w:ind w:left="14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2A424E">
      <w:start w:val="1"/>
      <w:numFmt w:val="bullet"/>
      <w:lvlText w:val="▪"/>
      <w:lvlJc w:val="left"/>
      <w:pPr>
        <w:ind w:left="2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92B310">
      <w:start w:val="1"/>
      <w:numFmt w:val="bullet"/>
      <w:lvlText w:val="•"/>
      <w:lvlJc w:val="left"/>
      <w:pPr>
        <w:ind w:left="2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520BF0">
      <w:start w:val="1"/>
      <w:numFmt w:val="bullet"/>
      <w:lvlText w:val="o"/>
      <w:lvlJc w:val="left"/>
      <w:pPr>
        <w:ind w:left="36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A05EB8">
      <w:start w:val="1"/>
      <w:numFmt w:val="bullet"/>
      <w:lvlText w:val="▪"/>
      <w:lvlJc w:val="left"/>
      <w:pPr>
        <w:ind w:left="43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022B3E">
      <w:start w:val="1"/>
      <w:numFmt w:val="bullet"/>
      <w:lvlText w:val="•"/>
      <w:lvlJc w:val="left"/>
      <w:pPr>
        <w:ind w:left="5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46ABF2">
      <w:start w:val="1"/>
      <w:numFmt w:val="bullet"/>
      <w:lvlText w:val="o"/>
      <w:lvlJc w:val="left"/>
      <w:pPr>
        <w:ind w:left="5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8A34C4">
      <w:start w:val="1"/>
      <w:numFmt w:val="bullet"/>
      <w:lvlText w:val="▪"/>
      <w:lvlJc w:val="left"/>
      <w:pPr>
        <w:ind w:left="6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49019862">
    <w:abstractNumId w:val="1"/>
  </w:num>
  <w:num w:numId="2" w16cid:durableId="1958222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60"/>
    <w:rsid w:val="000123F7"/>
    <w:rsid w:val="000131B4"/>
    <w:rsid w:val="00054D3A"/>
    <w:rsid w:val="00063A6D"/>
    <w:rsid w:val="000A1CC4"/>
    <w:rsid w:val="000C3E8F"/>
    <w:rsid w:val="000F21EF"/>
    <w:rsid w:val="000F5CB0"/>
    <w:rsid w:val="00102900"/>
    <w:rsid w:val="00113ACB"/>
    <w:rsid w:val="0014149E"/>
    <w:rsid w:val="00152967"/>
    <w:rsid w:val="001540E0"/>
    <w:rsid w:val="001805AB"/>
    <w:rsid w:val="001A0CF9"/>
    <w:rsid w:val="001B73CB"/>
    <w:rsid w:val="001E2BDC"/>
    <w:rsid w:val="001E673F"/>
    <w:rsid w:val="001E6BB8"/>
    <w:rsid w:val="001F68F7"/>
    <w:rsid w:val="00213153"/>
    <w:rsid w:val="00225973"/>
    <w:rsid w:val="00226978"/>
    <w:rsid w:val="002600DB"/>
    <w:rsid w:val="002834EB"/>
    <w:rsid w:val="002B6DFD"/>
    <w:rsid w:val="002C3B19"/>
    <w:rsid w:val="00301207"/>
    <w:rsid w:val="003026D1"/>
    <w:rsid w:val="00351B94"/>
    <w:rsid w:val="00384D68"/>
    <w:rsid w:val="003B1427"/>
    <w:rsid w:val="003B4381"/>
    <w:rsid w:val="003D3989"/>
    <w:rsid w:val="003E7F32"/>
    <w:rsid w:val="0049225D"/>
    <w:rsid w:val="004A5D6E"/>
    <w:rsid w:val="004C1F26"/>
    <w:rsid w:val="004C4507"/>
    <w:rsid w:val="004D01C8"/>
    <w:rsid w:val="00515C78"/>
    <w:rsid w:val="00525DE0"/>
    <w:rsid w:val="00530188"/>
    <w:rsid w:val="00575605"/>
    <w:rsid w:val="00596BBE"/>
    <w:rsid w:val="005A320E"/>
    <w:rsid w:val="005B2B6C"/>
    <w:rsid w:val="005B3F19"/>
    <w:rsid w:val="005B6687"/>
    <w:rsid w:val="005D5ACD"/>
    <w:rsid w:val="005F5EDC"/>
    <w:rsid w:val="006047AA"/>
    <w:rsid w:val="006146E2"/>
    <w:rsid w:val="0063728B"/>
    <w:rsid w:val="0065718B"/>
    <w:rsid w:val="00664403"/>
    <w:rsid w:val="00686AAE"/>
    <w:rsid w:val="00686B0E"/>
    <w:rsid w:val="006A627B"/>
    <w:rsid w:val="006E2BF6"/>
    <w:rsid w:val="006E7C08"/>
    <w:rsid w:val="00710E52"/>
    <w:rsid w:val="007252FC"/>
    <w:rsid w:val="0073056B"/>
    <w:rsid w:val="00774CFD"/>
    <w:rsid w:val="00785AAE"/>
    <w:rsid w:val="007A550C"/>
    <w:rsid w:val="007B6735"/>
    <w:rsid w:val="007D772A"/>
    <w:rsid w:val="008010F8"/>
    <w:rsid w:val="00821E1E"/>
    <w:rsid w:val="00847E36"/>
    <w:rsid w:val="00891953"/>
    <w:rsid w:val="008953AD"/>
    <w:rsid w:val="008A4148"/>
    <w:rsid w:val="008A5619"/>
    <w:rsid w:val="008C0F90"/>
    <w:rsid w:val="008C231D"/>
    <w:rsid w:val="008C352E"/>
    <w:rsid w:val="008F52D7"/>
    <w:rsid w:val="0090122C"/>
    <w:rsid w:val="00901E32"/>
    <w:rsid w:val="00910690"/>
    <w:rsid w:val="00946DD3"/>
    <w:rsid w:val="00947E3C"/>
    <w:rsid w:val="00952633"/>
    <w:rsid w:val="009863D7"/>
    <w:rsid w:val="0099624E"/>
    <w:rsid w:val="009BF393"/>
    <w:rsid w:val="009C35D7"/>
    <w:rsid w:val="009D77D3"/>
    <w:rsid w:val="009E7678"/>
    <w:rsid w:val="00A13466"/>
    <w:rsid w:val="00A23BE4"/>
    <w:rsid w:val="00A26BF3"/>
    <w:rsid w:val="00A36160"/>
    <w:rsid w:val="00A43258"/>
    <w:rsid w:val="00A50EE5"/>
    <w:rsid w:val="00A52C2B"/>
    <w:rsid w:val="00A54C44"/>
    <w:rsid w:val="00A6481B"/>
    <w:rsid w:val="00A728E0"/>
    <w:rsid w:val="00A77726"/>
    <w:rsid w:val="00AA1190"/>
    <w:rsid w:val="00AB4711"/>
    <w:rsid w:val="00AE1289"/>
    <w:rsid w:val="00B0563B"/>
    <w:rsid w:val="00B16EC4"/>
    <w:rsid w:val="00B2187D"/>
    <w:rsid w:val="00B26E18"/>
    <w:rsid w:val="00B413C9"/>
    <w:rsid w:val="00B709FA"/>
    <w:rsid w:val="00B772AF"/>
    <w:rsid w:val="00BB68CD"/>
    <w:rsid w:val="00BC7B96"/>
    <w:rsid w:val="00BD0880"/>
    <w:rsid w:val="00BD5F59"/>
    <w:rsid w:val="00BD6668"/>
    <w:rsid w:val="00C00EB3"/>
    <w:rsid w:val="00C17D46"/>
    <w:rsid w:val="00C24329"/>
    <w:rsid w:val="00CB5836"/>
    <w:rsid w:val="00CC5F4B"/>
    <w:rsid w:val="00CD1D7B"/>
    <w:rsid w:val="00D16170"/>
    <w:rsid w:val="00D80A52"/>
    <w:rsid w:val="00DE2414"/>
    <w:rsid w:val="00E32073"/>
    <w:rsid w:val="00E46B6E"/>
    <w:rsid w:val="00E50A51"/>
    <w:rsid w:val="00EB7128"/>
    <w:rsid w:val="00EC0A5C"/>
    <w:rsid w:val="00EC131C"/>
    <w:rsid w:val="00F44F71"/>
    <w:rsid w:val="00F80524"/>
    <w:rsid w:val="00FB6956"/>
    <w:rsid w:val="00FC2178"/>
    <w:rsid w:val="00FD7C66"/>
    <w:rsid w:val="2C245299"/>
    <w:rsid w:val="2DC022FA"/>
    <w:rsid w:val="3058D1C9"/>
    <w:rsid w:val="3165BD19"/>
    <w:rsid w:val="395C7D2A"/>
    <w:rsid w:val="4920E6F1"/>
    <w:rsid w:val="4C94F9A4"/>
    <w:rsid w:val="5B508556"/>
    <w:rsid w:val="5B983ECC"/>
    <w:rsid w:val="5D494613"/>
    <w:rsid w:val="5F951168"/>
    <w:rsid w:val="611BAAE3"/>
    <w:rsid w:val="6AD7C40F"/>
    <w:rsid w:val="787BAAC7"/>
    <w:rsid w:val="7F002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FA555"/>
  <w15:docId w15:val="{F561B2D1-6768-B940-849B-AFCD3B0F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60" w:hanging="10"/>
    </w:pPr>
    <w:rPr>
      <w:rFonts w:ascii="Calibri" w:eastAsia="Calibri" w:hAnsi="Calibri" w:cs="Calibri"/>
      <w:color w:val="000000"/>
      <w:lang w:bidi="en-US"/>
    </w:rPr>
  </w:style>
  <w:style w:type="paragraph" w:styleId="Heading1">
    <w:name w:val="heading 1"/>
    <w:next w:val="Normal"/>
    <w:link w:val="Heading1Char"/>
    <w:uiPriority w:val="9"/>
    <w:qFormat/>
    <w:pPr>
      <w:keepNext/>
      <w:keepLines/>
      <w:spacing w:line="259" w:lineRule="auto"/>
      <w:ind w:left="60" w:hanging="10"/>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u w:val="single" w:color="000000"/>
    </w:rPr>
  </w:style>
  <w:style w:type="paragraph" w:styleId="Header">
    <w:name w:val="header"/>
    <w:basedOn w:val="Normal"/>
    <w:link w:val="HeaderChar"/>
    <w:uiPriority w:val="99"/>
    <w:unhideWhenUsed/>
    <w:rsid w:val="00614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6E2"/>
    <w:rPr>
      <w:rFonts w:ascii="Calibri" w:eastAsia="Calibri" w:hAnsi="Calibri" w:cs="Calibri"/>
      <w:color w:val="000000"/>
      <w:lang w:bidi="en-US"/>
    </w:rPr>
  </w:style>
  <w:style w:type="paragraph" w:styleId="Footer">
    <w:name w:val="footer"/>
    <w:basedOn w:val="Normal"/>
    <w:link w:val="FooterChar"/>
    <w:uiPriority w:val="99"/>
    <w:unhideWhenUsed/>
    <w:rsid w:val="00614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6E2"/>
    <w:rPr>
      <w:rFonts w:ascii="Calibri" w:eastAsia="Calibri" w:hAnsi="Calibri" w:cs="Calibri"/>
      <w:color w:val="000000"/>
      <w:lang w:bidi="en-US"/>
    </w:rPr>
  </w:style>
  <w:style w:type="paragraph" w:styleId="ListParagraph">
    <w:name w:val="List Paragraph"/>
    <w:basedOn w:val="Normal"/>
    <w:uiPriority w:val="34"/>
    <w:qFormat/>
    <w:rsid w:val="006146E2"/>
    <w:pPr>
      <w:ind w:left="720"/>
      <w:contextualSpacing/>
    </w:pPr>
  </w:style>
  <w:style w:type="paragraph" w:styleId="Revision">
    <w:name w:val="Revision"/>
    <w:hidden/>
    <w:uiPriority w:val="99"/>
    <w:semiHidden/>
    <w:rsid w:val="007252FC"/>
    <w:rPr>
      <w:rFonts w:ascii="Calibri" w:eastAsia="Calibri" w:hAnsi="Calibri" w:cs="Calibri"/>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19652">
      <w:bodyDiv w:val="1"/>
      <w:marLeft w:val="0"/>
      <w:marRight w:val="0"/>
      <w:marTop w:val="0"/>
      <w:marBottom w:val="0"/>
      <w:divBdr>
        <w:top w:val="none" w:sz="0" w:space="0" w:color="auto"/>
        <w:left w:val="none" w:sz="0" w:space="0" w:color="auto"/>
        <w:bottom w:val="none" w:sz="0" w:space="0" w:color="auto"/>
        <w:right w:val="none" w:sz="0" w:space="0" w:color="auto"/>
      </w:divBdr>
    </w:div>
    <w:div w:id="613637756">
      <w:bodyDiv w:val="1"/>
      <w:marLeft w:val="0"/>
      <w:marRight w:val="0"/>
      <w:marTop w:val="0"/>
      <w:marBottom w:val="0"/>
      <w:divBdr>
        <w:top w:val="none" w:sz="0" w:space="0" w:color="auto"/>
        <w:left w:val="none" w:sz="0" w:space="0" w:color="auto"/>
        <w:bottom w:val="none" w:sz="0" w:space="0" w:color="auto"/>
        <w:right w:val="none" w:sz="0" w:space="0" w:color="auto"/>
      </w:divBdr>
    </w:div>
    <w:div w:id="819466899">
      <w:bodyDiv w:val="1"/>
      <w:marLeft w:val="0"/>
      <w:marRight w:val="0"/>
      <w:marTop w:val="0"/>
      <w:marBottom w:val="0"/>
      <w:divBdr>
        <w:top w:val="none" w:sz="0" w:space="0" w:color="auto"/>
        <w:left w:val="none" w:sz="0" w:space="0" w:color="auto"/>
        <w:bottom w:val="none" w:sz="0" w:space="0" w:color="auto"/>
        <w:right w:val="none" w:sz="0" w:space="0" w:color="auto"/>
      </w:divBdr>
    </w:div>
    <w:div w:id="910503236">
      <w:bodyDiv w:val="1"/>
      <w:marLeft w:val="0"/>
      <w:marRight w:val="0"/>
      <w:marTop w:val="0"/>
      <w:marBottom w:val="0"/>
      <w:divBdr>
        <w:top w:val="none" w:sz="0" w:space="0" w:color="auto"/>
        <w:left w:val="none" w:sz="0" w:space="0" w:color="auto"/>
        <w:bottom w:val="none" w:sz="0" w:space="0" w:color="auto"/>
        <w:right w:val="none" w:sz="0" w:space="0" w:color="auto"/>
      </w:divBdr>
    </w:div>
    <w:div w:id="926042560">
      <w:bodyDiv w:val="1"/>
      <w:marLeft w:val="0"/>
      <w:marRight w:val="0"/>
      <w:marTop w:val="0"/>
      <w:marBottom w:val="0"/>
      <w:divBdr>
        <w:top w:val="none" w:sz="0" w:space="0" w:color="auto"/>
        <w:left w:val="none" w:sz="0" w:space="0" w:color="auto"/>
        <w:bottom w:val="none" w:sz="0" w:space="0" w:color="auto"/>
        <w:right w:val="none" w:sz="0" w:space="0" w:color="auto"/>
      </w:divBdr>
    </w:div>
    <w:div w:id="1160123776">
      <w:bodyDiv w:val="1"/>
      <w:marLeft w:val="0"/>
      <w:marRight w:val="0"/>
      <w:marTop w:val="0"/>
      <w:marBottom w:val="0"/>
      <w:divBdr>
        <w:top w:val="none" w:sz="0" w:space="0" w:color="auto"/>
        <w:left w:val="none" w:sz="0" w:space="0" w:color="auto"/>
        <w:bottom w:val="none" w:sz="0" w:space="0" w:color="auto"/>
        <w:right w:val="none" w:sz="0" w:space="0" w:color="auto"/>
      </w:divBdr>
    </w:div>
    <w:div w:id="1472484720">
      <w:bodyDiv w:val="1"/>
      <w:marLeft w:val="0"/>
      <w:marRight w:val="0"/>
      <w:marTop w:val="0"/>
      <w:marBottom w:val="0"/>
      <w:divBdr>
        <w:top w:val="none" w:sz="0" w:space="0" w:color="auto"/>
        <w:left w:val="none" w:sz="0" w:space="0" w:color="auto"/>
        <w:bottom w:val="none" w:sz="0" w:space="0" w:color="auto"/>
        <w:right w:val="none" w:sz="0" w:space="0" w:color="auto"/>
      </w:divBdr>
    </w:div>
    <w:div w:id="1622958235">
      <w:bodyDiv w:val="1"/>
      <w:marLeft w:val="0"/>
      <w:marRight w:val="0"/>
      <w:marTop w:val="0"/>
      <w:marBottom w:val="0"/>
      <w:divBdr>
        <w:top w:val="none" w:sz="0" w:space="0" w:color="auto"/>
        <w:left w:val="none" w:sz="0" w:space="0" w:color="auto"/>
        <w:bottom w:val="none" w:sz="0" w:space="0" w:color="auto"/>
        <w:right w:val="none" w:sz="0" w:space="0" w:color="auto"/>
      </w:divBdr>
    </w:div>
    <w:div w:id="1707557920">
      <w:bodyDiv w:val="1"/>
      <w:marLeft w:val="0"/>
      <w:marRight w:val="0"/>
      <w:marTop w:val="0"/>
      <w:marBottom w:val="0"/>
      <w:divBdr>
        <w:top w:val="none" w:sz="0" w:space="0" w:color="auto"/>
        <w:left w:val="none" w:sz="0" w:space="0" w:color="auto"/>
        <w:bottom w:val="none" w:sz="0" w:space="0" w:color="auto"/>
        <w:right w:val="none" w:sz="0" w:space="0" w:color="auto"/>
      </w:divBdr>
    </w:div>
    <w:div w:id="1856574693">
      <w:bodyDiv w:val="1"/>
      <w:marLeft w:val="0"/>
      <w:marRight w:val="0"/>
      <w:marTop w:val="0"/>
      <w:marBottom w:val="0"/>
      <w:divBdr>
        <w:top w:val="none" w:sz="0" w:space="0" w:color="auto"/>
        <w:left w:val="none" w:sz="0" w:space="0" w:color="auto"/>
        <w:bottom w:val="none" w:sz="0" w:space="0" w:color="auto"/>
        <w:right w:val="none" w:sz="0" w:space="0" w:color="auto"/>
      </w:divBdr>
    </w:div>
    <w:div w:id="1916162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FF9A7D2600A449896BFA4D99C18217" ma:contentTypeVersion="27" ma:contentTypeDescription="Create a new document." ma:contentTypeScope="" ma:versionID="7786b6af6c3139e531a8455dfed787fb">
  <xsd:schema xmlns:xsd="http://www.w3.org/2001/XMLSchema" xmlns:xs="http://www.w3.org/2001/XMLSchema" xmlns:p="http://schemas.microsoft.com/office/2006/metadata/properties" xmlns:ns2="abdc030a-ff85-492a-8b11-954e139f2c11" xmlns:ns3="bd8a3657-8942-4411-898f-4efe354c6d08" targetNamespace="http://schemas.microsoft.com/office/2006/metadata/properties" ma:root="true" ma:fieldsID="82c1472766e3a1809d8a767d64bd759d" ns2:_="" ns3:_="">
    <xsd:import namespace="abdc030a-ff85-492a-8b11-954e139f2c11"/>
    <xsd:import namespace="bd8a3657-8942-4411-898f-4efe354c6d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c030a-ff85-492a-8b11-954e139f2c1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description=""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a3657-8942-4411-898f-4efe354c6d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a70126-6738-41fb-bf47-6a697e147f71}" ma:internalName="TaxCatchAll" ma:showField="CatchAllData" ma:web="bd8a3657-8942-4411-898f-4efe354c6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dc030a-ff85-492a-8b11-954e139f2c11">
      <Terms xmlns="http://schemas.microsoft.com/office/infopath/2007/PartnerControls"/>
    </lcf76f155ced4ddcb4097134ff3c332f>
    <TaxCatchAll xmlns="bd8a3657-8942-4411-898f-4efe354c6d08" xsi:nil="true"/>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1FB4B562-4813-48F1-ABC5-43E4902D6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c030a-ff85-492a-8b11-954e139f2c11"/>
    <ds:schemaRef ds:uri="bd8a3657-8942-4411-898f-4efe354c6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75610D-BD50-448B-99C4-3D0610CB1341}">
  <ds:schemaRefs>
    <ds:schemaRef ds:uri="http://schemas.microsoft.com/office/2006/metadata/properties"/>
    <ds:schemaRef ds:uri="http://schemas.microsoft.com/office/infopath/2007/PartnerControls"/>
    <ds:schemaRef ds:uri="abdc030a-ff85-492a-8b11-954e139f2c11"/>
    <ds:schemaRef ds:uri="bd8a3657-8942-4411-898f-4efe354c6d08"/>
  </ds:schemaRefs>
</ds:datastoreItem>
</file>

<file path=customXml/itemProps3.xml><?xml version="1.0" encoding="utf-8"?>
<ds:datastoreItem xmlns:ds="http://schemas.openxmlformats.org/officeDocument/2006/customXml" ds:itemID="{F5439DD1-238D-4820-869B-BA910E610F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6277</Characters>
  <Application>Microsoft Office Word</Application>
  <DocSecurity>0</DocSecurity>
  <Lines>160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Angi Heller</cp:lastModifiedBy>
  <cp:revision>2</cp:revision>
  <cp:lastPrinted>2022-06-16T13:50:00Z</cp:lastPrinted>
  <dcterms:created xsi:type="dcterms:W3CDTF">2026-04-17T18:24:00Z</dcterms:created>
  <dcterms:modified xsi:type="dcterms:W3CDTF">2026-04-17T18:24:00Z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0x01010092FF9A7D2600A449896BFA4D99C18217</vt:lpwstr>
  </property>
</Properties>
</file>